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t>[Miejsce na logo Porady.pl]</w:t>
      </w:r>
    </w:p>
    <w:p>
      <w:pPr>
        <w:jc w:val="center"/>
      </w:pPr>
      <w:r>
        <w:rPr>
          <w:b/>
          <w:sz w:val="36"/>
        </w:rPr>
        <w:t>Polityka zgodności z prawem autorskim (Copyright Policy) dla modeli AI ogólnego przeznaczenia</w:t>
      </w:r>
    </w:p>
    <w:p/>
    <w:p>
      <w:pPr>
        <w:pStyle w:val="Heading1"/>
      </w:pPr>
      <w:r>
        <w:t>1. Cel polityki</w:t>
      </w:r>
    </w:p>
    <w:p>
      <w:r>
        <w:t>Celem niniejszej polityki jest zapewnienie, że wszystkie działania związane z tworzeniem, rozwijaniem, trenowaniem oraz wdrażaniem modeli AI ogólnego przeznaczenia (GPAIM) są prowadzone w zgodzie z obowiązującym prawem autorskim Unii Europejskiej oraz krajowym. Polityka określa zasady pozyskiwania, wykorzystywania i udostępniania treści oraz mechanizmy zapobiegania naruszeniom praw autorskich.</w:t>
      </w:r>
    </w:p>
    <w:p>
      <w:pPr>
        <w:pStyle w:val="Heading1"/>
      </w:pPr>
      <w:r>
        <w:t>2. Zakres stosowania</w:t>
      </w:r>
    </w:p>
    <w:p>
      <w:r>
        <w:t>Polityka obowiązuje wszystkich pracowników, współpracowników oraz partnerów firmy wdrażającej modele AI ogólnego przeznaczenia, w szczególności osoby odpowiedzialne za:</w:t>
        <w:br/>
        <w:t>- Pozyskiwanie danych treningowych,</w:t>
        <w:br/>
        <w:t>- Procesy trenowania modeli,</w:t>
        <w:br/>
        <w:t>- Integrację i wdrożenie modeli,</w:t>
        <w:br/>
        <w:t>- Audyty zgodności.</w:t>
      </w:r>
    </w:p>
    <w:p>
      <w:pPr>
        <w:pStyle w:val="Heading1"/>
      </w:pPr>
      <w:r>
        <w:t>3. Zasady pozyskiwania danych</w:t>
      </w:r>
    </w:p>
    <w:p>
      <w:r>
        <w:t>a) Pozyskiwanie danych odbywa się wyłącznie ze źródeł legalnych oraz na podstawie obowiązujących licencji.</w:t>
        <w:br/>
        <w:t>b) Niedozwolone jest wykorzystywanie danych pochodzących ze stron o charakterze pirackim lub nielegalnym.</w:t>
        <w:br/>
        <w:t>c) Dane pozyskiwane od podmiotów trzecich podlegają wyrywkowej, proporcjonalnej weryfikacji statusu prawnego.</w:t>
      </w:r>
    </w:p>
    <w:p>
      <w:pPr>
        <w:pStyle w:val="Heading1"/>
      </w:pPr>
      <w:r>
        <w:t>4. Respektowanie zastrzeżeń właścicieli praw (opt-out)</w:t>
      </w:r>
    </w:p>
    <w:p>
      <w:r>
        <w:t>a) Firma szanuje wszelkie skutecznie zgłoszone zastrzeżenia dotyczące niewykorzystywania treści do trenowania modeli AI (np. poprzez robots.txt lub inne powszechnie uznane standardy).</w:t>
        <w:br/>
        <w:t>b) Właściciele praw nie ponoszą negatywnych konsekwencji zastrzeżenia (np. utraty widoczności w wyszukiwarkach).</w:t>
        <w:br/>
        <w:t>c) Firma publikuje listę identyfikatorów wykorzystywanych crawlerów.</w:t>
      </w:r>
    </w:p>
    <w:p>
      <w:pPr>
        <w:pStyle w:val="Heading1"/>
      </w:pPr>
      <w:r>
        <w:t>5. Zapobieganie naruszeniom praw autorskich</w:t>
      </w:r>
    </w:p>
    <w:p>
      <w:r>
        <w:t>a) Wdrożone są mechanizmy filtrowania i ograniczania generowania fragmentów treści chronionych.</w:t>
        <w:br/>
        <w:t>b) Stosowane są zabezpieczenia przed tzw. przetrenowaniem modeli (overfitting).</w:t>
        <w:br/>
        <w:t>c) Zasady licencjonowania wykraczające poza TDM są szczegółowo opisane i dokumentowane.</w:t>
      </w:r>
    </w:p>
    <w:p>
      <w:pPr>
        <w:pStyle w:val="Heading1"/>
      </w:pPr>
      <w:r>
        <w:t>6. Szkolenia i monitoring</w:t>
      </w:r>
    </w:p>
    <w:p>
      <w:r>
        <w:t>a) Pracownicy oraz współpracownicy są regularnie szkoleni w zakresie prawa autorskiego oraz aktualnych wymagań AI Act.</w:t>
        <w:br/>
        <w:t>b) Firma prowadzi monitoring zmian prawnych oraz aktualizuje politykę minimum raz do roku.</w:t>
      </w:r>
    </w:p>
    <w:p>
      <w:pPr>
        <w:pStyle w:val="Heading1"/>
      </w:pPr>
      <w:r>
        <w:t>7. Publiczne udostępnianie informacji</w:t>
      </w:r>
    </w:p>
    <w:p>
      <w:r>
        <w:t>a) Streszczenie głównych zbiorów danych treningowych jest publikowane w sposób zgodny z AI Act oraz z zachowaniem poufności danych wrażliwych.</w:t>
        <w:br/>
        <w:t>b) Podsumowanie niniejszej polityki dostępne jest na stronie internetowej firmy.</w:t>
      </w:r>
    </w:p>
    <w:p>
      <w:pPr>
        <w:pStyle w:val="Heading1"/>
      </w:pPr>
      <w:r>
        <w:t>8. Odpowiedzialność i sankcje</w:t>
      </w:r>
    </w:p>
    <w:p>
      <w:r>
        <w:t>a) Za wdrożenie i stosowanie polityki odpowiedzialny jest Zarząd firmy.</w:t>
        <w:br/>
        <w:t>b) Naruszenie polityki skutkuje konsekwencjami służbowymi, a w przypadku działań niezgodnych z prawem – zgłoszeniem do właściwych organów.</w:t>
      </w:r>
    </w:p>
    <w:p>
      <w:pPr>
        <w:pStyle w:val="Heading1"/>
      </w:pPr>
      <w:r>
        <w:t>9. Postanowienia końcowe</w:t>
      </w:r>
    </w:p>
    <w:p>
      <w:r>
        <w:t>Polityka wchodzi w życie z dniem ... i podlega corocznej weryfikacji. Wszelkie zmiany wymagają akceptacji Zarządu firmy.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