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pPr>
      <w:r w:rsidDel="00000000" w:rsidR="00000000" w:rsidRPr="00000000">
        <w:rPr>
          <w:rtl w:val="0"/>
        </w:rPr>
        <w:t xml:space="preserve">Kwietniów, dnia [.................] r.</w:t>
      </w:r>
    </w:p>
    <w:p w:rsidR="00000000" w:rsidDel="00000000" w:rsidP="00000000" w:rsidRDefault="00000000" w:rsidRPr="00000000" w14:paraId="00000002">
      <w:pPr>
        <w:spacing w:after="240" w:before="240" w:lineRule="auto"/>
        <w:jc w:val="right"/>
        <w:rPr/>
      </w:pPr>
      <w:r w:rsidDel="00000000" w:rsidR="00000000" w:rsidRPr="00000000">
        <w:rPr>
          <w:b w:val="1"/>
          <w:rtl w:val="0"/>
        </w:rPr>
        <w:t xml:space="preserve">Do Sądu Okręgowego w Kwietniowie</w:t>
        <w:br w:type="textWrapping"/>
      </w:r>
      <w:r w:rsidDel="00000000" w:rsidR="00000000" w:rsidRPr="00000000">
        <w:rPr>
          <w:rtl w:val="0"/>
        </w:rPr>
        <w:t xml:space="preserve">Wydział II Cywilny Odwoławczy</w:t>
        <w:br w:type="textWrapping"/>
        <w:t xml:space="preserve">ul. Prawa i Sprawiedliwości 11, 88-432 Kwietniów</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za pośrednictwem</w:t>
        <w:br w:type="textWrapping"/>
      </w:r>
      <w:r w:rsidDel="00000000" w:rsidR="00000000" w:rsidRPr="00000000">
        <w:rPr>
          <w:b w:val="1"/>
          <w:rtl w:val="0"/>
        </w:rPr>
        <w:t xml:space="preserve">Sądu Rejonowego w Kwietniowie</w:t>
        <w:br w:type="textWrapping"/>
      </w:r>
      <w:r w:rsidDel="00000000" w:rsidR="00000000" w:rsidRPr="00000000">
        <w:rPr>
          <w:rtl w:val="0"/>
        </w:rPr>
        <w:t xml:space="preserve">Wydział III Rodzinny i Nieletnich</w:t>
        <w:br w:type="textWrapping"/>
        <w:t xml:space="preserve">ul. Prawa i Sprawiedliwości 9, 88-432 Kwietniów</w:t>
      </w:r>
    </w:p>
    <w:p w:rsidR="00000000" w:rsidDel="00000000" w:rsidP="00000000" w:rsidRDefault="00000000" w:rsidRPr="00000000" w14:paraId="00000004">
      <w:pPr>
        <w:spacing w:after="240" w:before="240" w:lineRule="auto"/>
        <w:jc w:val="both"/>
        <w:rPr/>
      </w:pPr>
      <w:r w:rsidDel="00000000" w:rsidR="00000000" w:rsidRPr="00000000">
        <w:rPr>
          <w:b w:val="1"/>
          <w:rtl w:val="0"/>
        </w:rPr>
        <w:t xml:space="preserve">Powódka:</w:t>
        <w:br w:type="textWrapping"/>
      </w:r>
      <w:r w:rsidDel="00000000" w:rsidR="00000000" w:rsidRPr="00000000">
        <w:rPr>
          <w:rtl w:val="0"/>
        </w:rPr>
        <w:t xml:space="preserve">małoletnia </w:t>
      </w:r>
      <w:r w:rsidDel="00000000" w:rsidR="00000000" w:rsidRPr="00000000">
        <w:rPr>
          <w:b w:val="1"/>
          <w:rtl w:val="0"/>
        </w:rPr>
        <w:t xml:space="preserve">Lena Słomka</w:t>
      </w:r>
      <w:r w:rsidDel="00000000" w:rsidR="00000000" w:rsidRPr="00000000">
        <w:rPr>
          <w:rtl w:val="0"/>
        </w:rPr>
        <w:t xml:space="preserve">, reprezentowana przez matkę</w:t>
        <w:br w:type="textWrapping"/>
      </w:r>
      <w:r w:rsidDel="00000000" w:rsidR="00000000" w:rsidRPr="00000000">
        <w:rPr>
          <w:b w:val="1"/>
          <w:rtl w:val="0"/>
        </w:rPr>
        <w:t xml:space="preserve">Karolinę Słomkę</w:t>
      </w:r>
      <w:r w:rsidDel="00000000" w:rsidR="00000000" w:rsidRPr="00000000">
        <w:rPr>
          <w:rtl w:val="0"/>
        </w:rPr>
        <w:t xml:space="preserve">, zam. [adres]</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Pozwany:</w:t>
        <w:br w:type="textWrapping"/>
        <w:t xml:space="preserve">Damian Słomka</w:t>
      </w:r>
      <w:r w:rsidDel="00000000" w:rsidR="00000000" w:rsidRPr="00000000">
        <w:rPr>
          <w:rtl w:val="0"/>
        </w:rPr>
        <w:t xml:space="preserve">, reprezentowany przez adwokata </w:t>
      </w:r>
      <w:r w:rsidDel="00000000" w:rsidR="00000000" w:rsidRPr="00000000">
        <w:rPr>
          <w:b w:val="1"/>
          <w:rtl w:val="0"/>
        </w:rPr>
        <w:t xml:space="preserve">Joannę Witlin</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Sygn. akt:</w:t>
      </w:r>
      <w:r w:rsidDel="00000000" w:rsidR="00000000" w:rsidRPr="00000000">
        <w:rPr>
          <w:rtl w:val="0"/>
        </w:rPr>
        <w:t xml:space="preserve"> III RC 427/23</w:t>
        <w:br w:type="textWrapping"/>
      </w:r>
      <w:r w:rsidDel="00000000" w:rsidR="00000000" w:rsidRPr="00000000">
        <w:rPr>
          <w:b w:val="1"/>
          <w:rtl w:val="0"/>
        </w:rPr>
        <w:t xml:space="preserve">Wartość przedmiotu zaskarżenia:</w:t>
      </w:r>
      <w:r w:rsidDel="00000000" w:rsidR="00000000" w:rsidRPr="00000000">
        <w:rPr>
          <w:rtl w:val="0"/>
        </w:rPr>
        <w:t xml:space="preserve"> 4200 zł</w:t>
        <w:br w:type="textWrapping"/>
      </w:r>
      <w:r w:rsidDel="00000000" w:rsidR="00000000" w:rsidRPr="00000000">
        <w:rPr>
          <w:b w:val="1"/>
          <w:rtl w:val="0"/>
        </w:rPr>
        <w:t xml:space="preserve">Opłata sądowa:</w:t>
      </w:r>
      <w:r w:rsidDel="00000000" w:rsidR="00000000" w:rsidRPr="00000000">
        <w:rPr>
          <w:rtl w:val="0"/>
        </w:rPr>
        <w:t xml:space="preserve"> 200 zł (w tym 100 zł uiszczone przy wniosku o uzasadnienie wyroku)</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jc w:val="center"/>
        <w:rPr>
          <w:b w:val="1"/>
          <w:color w:val="000000"/>
          <w:sz w:val="26"/>
          <w:szCs w:val="26"/>
        </w:rPr>
      </w:pPr>
      <w:bookmarkStart w:colFirst="0" w:colLast="0" w:name="_4p6w0t4xexew" w:id="0"/>
      <w:bookmarkEnd w:id="0"/>
      <w:r w:rsidDel="00000000" w:rsidR="00000000" w:rsidRPr="00000000">
        <w:rPr>
          <w:b w:val="1"/>
          <w:color w:val="000000"/>
          <w:sz w:val="26"/>
          <w:szCs w:val="26"/>
          <w:rtl w:val="0"/>
        </w:rPr>
        <w:t xml:space="preserve">APELACJA POZWANEGO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od wyroku Sądu Rejonowego w Kwietniowie z dnia 14 maja 2024 r.</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Działając w imieniu pozwanego, na podstawie art. 367 § 1 i n. k.p.c., zaskarżam powyższy wyrok w części obejmującej punkty 1, 3 i 4 sentencji.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jc w:val="center"/>
        <w:rPr>
          <w:b w:val="1"/>
          <w:color w:val="000000"/>
          <w:sz w:val="26"/>
          <w:szCs w:val="26"/>
        </w:rPr>
      </w:pPr>
      <w:bookmarkStart w:colFirst="0" w:colLast="0" w:name="_i8rwr7pb65rz" w:id="1"/>
      <w:bookmarkEnd w:id="1"/>
      <w:r w:rsidDel="00000000" w:rsidR="00000000" w:rsidRPr="00000000">
        <w:rPr>
          <w:b w:val="1"/>
          <w:color w:val="000000"/>
          <w:sz w:val="26"/>
          <w:szCs w:val="26"/>
          <w:rtl w:val="0"/>
        </w:rPr>
        <w:t xml:space="preserve">ZARZUTY</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Zaskarżonemu orzeczeniu zarzucam:</w:t>
      </w:r>
    </w:p>
    <w:p w:rsidR="00000000" w:rsidDel="00000000" w:rsidP="00000000" w:rsidRDefault="00000000" w:rsidRPr="00000000" w14:paraId="0000000E">
      <w:pPr>
        <w:numPr>
          <w:ilvl w:val="0"/>
          <w:numId w:val="2"/>
        </w:numPr>
        <w:spacing w:after="0" w:afterAutospacing="0" w:before="240" w:lineRule="auto"/>
        <w:ind w:left="720" w:hanging="360"/>
        <w:jc w:val="both"/>
      </w:pPr>
      <w:r w:rsidDel="00000000" w:rsidR="00000000" w:rsidRPr="00000000">
        <w:rPr>
          <w:b w:val="1"/>
          <w:rtl w:val="0"/>
        </w:rPr>
        <w:t xml:space="preserve">Błąd w ustaleniach faktycznych</w:t>
      </w:r>
      <w:r w:rsidDel="00000000" w:rsidR="00000000" w:rsidRPr="00000000">
        <w:rPr>
          <w:rtl w:val="0"/>
        </w:rPr>
        <w:t xml:space="preserve"> poprzez bezzasadne przyjęcie, że miesięczne koszty utrzymania małoletniej powódki wynoszą 1600 zł, podczas gdy zgromadzony materiał dowodowy pozwala na ustalenie znacznie niższej, realistycznej kwoty odpowiadającej jej rzeczywistym potrzebom.</w:t>
      </w:r>
    </w:p>
    <w:p w:rsidR="00000000" w:rsidDel="00000000" w:rsidP="00000000" w:rsidRDefault="00000000" w:rsidRPr="00000000" w14:paraId="0000000F">
      <w:pPr>
        <w:numPr>
          <w:ilvl w:val="0"/>
          <w:numId w:val="2"/>
        </w:numPr>
        <w:spacing w:after="0" w:afterAutospacing="0" w:before="0" w:beforeAutospacing="0" w:lineRule="auto"/>
        <w:ind w:left="720" w:hanging="360"/>
        <w:jc w:val="both"/>
      </w:pPr>
      <w:r w:rsidDel="00000000" w:rsidR="00000000" w:rsidRPr="00000000">
        <w:rPr>
          <w:b w:val="1"/>
          <w:rtl w:val="0"/>
        </w:rPr>
        <w:t xml:space="preserve">Błąd w ustaleniach faktycznych</w:t>
      </w:r>
      <w:r w:rsidDel="00000000" w:rsidR="00000000" w:rsidRPr="00000000">
        <w:rPr>
          <w:rtl w:val="0"/>
        </w:rPr>
        <w:t xml:space="preserve"> poprzez przyjęcie, że pozwany osiąga zarobki w wysokości 4200 zł netto, podczas gdy jego faktyczne i możliwe do uzyskania dochody są niższe.</w:t>
      </w:r>
    </w:p>
    <w:p w:rsidR="00000000" w:rsidDel="00000000" w:rsidP="00000000" w:rsidRDefault="00000000" w:rsidRPr="00000000" w14:paraId="00000010">
      <w:pPr>
        <w:numPr>
          <w:ilvl w:val="0"/>
          <w:numId w:val="2"/>
        </w:numPr>
        <w:spacing w:after="0" w:afterAutospacing="0" w:before="0" w:beforeAutospacing="0" w:lineRule="auto"/>
        <w:ind w:left="720" w:hanging="360"/>
        <w:jc w:val="both"/>
      </w:pPr>
      <w:r w:rsidDel="00000000" w:rsidR="00000000" w:rsidRPr="00000000">
        <w:rPr>
          <w:b w:val="1"/>
          <w:rtl w:val="0"/>
        </w:rPr>
        <w:t xml:space="preserve">Naruszenie prawa materialnego</w:t>
      </w:r>
      <w:r w:rsidDel="00000000" w:rsidR="00000000" w:rsidRPr="00000000">
        <w:rPr>
          <w:rtl w:val="0"/>
        </w:rPr>
        <w:t xml:space="preserve">, tj. art. 135 § 1 ustawy z dnia 25 lutego 1964 r. – Kodeks rodzinny i opiekuńczy (Dz.U. z 2023 r. poz. 2809), poprzez jego niewłaściwe zastosowanie i zasądzenie alimentów w wysokości nieodpowiadającej usprawiedliwionym potrzebom dziecka oraz rzeczywistym możliwościom majątkowym i zarobkowym pozwanego.</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b w:val="1"/>
          <w:rtl w:val="0"/>
        </w:rPr>
        <w:t xml:space="preserve">Naruszenie przepisów prawa procesowego</w:t>
      </w:r>
      <w:r w:rsidDel="00000000" w:rsidR="00000000" w:rsidRPr="00000000">
        <w:rPr>
          <w:rtl w:val="0"/>
        </w:rPr>
        <w:t xml:space="preserve">, tj. § 4 ust. 4 w zw. z § 2 pkt 5 rozporządzenia Ministra Sprawiedliwości z dnia 22 października 2015 r. w sprawie opłat za czynności radców prawnych (Dz.U. z 2023 r. poz. 1935) oraz § 4 ust. 1 pkt 9 rozporządzenia Ministra Sprawiedliwości z dnia 22 października 2015 r. w sprawie opłat za czynności adwokackie (Dz.U. z 2023 r. poz. 1964), poprzez ich błędne, kumulatywne zastosowanie i ustalenie odmiennych stawek wynagrodzenia pełnomocników procesowych stron w jednej sprawie.</w:t>
      </w:r>
    </w:p>
    <w:p w:rsidR="00000000" w:rsidDel="00000000" w:rsidP="00000000" w:rsidRDefault="00000000" w:rsidRPr="00000000" w14:paraId="00000012">
      <w:pPr>
        <w:numPr>
          <w:ilvl w:val="0"/>
          <w:numId w:val="2"/>
        </w:numPr>
        <w:spacing w:after="240" w:before="0" w:beforeAutospacing="0" w:lineRule="auto"/>
        <w:ind w:left="720" w:hanging="360"/>
        <w:jc w:val="both"/>
      </w:pPr>
      <w:r w:rsidDel="00000000" w:rsidR="00000000" w:rsidRPr="00000000">
        <w:rPr>
          <w:b w:val="1"/>
          <w:rtl w:val="0"/>
        </w:rPr>
        <w:t xml:space="preserve">Naruszenie art. 102 k.p.c.</w:t>
      </w:r>
      <w:r w:rsidDel="00000000" w:rsidR="00000000" w:rsidRPr="00000000">
        <w:rPr>
          <w:rtl w:val="0"/>
        </w:rPr>
        <w:t xml:space="preserve"> poprzez jego niezastosowanie mimo zaistnienia szczególnych okoliczności uzasadniających odstąpienie od obciążania pozwanego kosztami procesu i części opłaty sądowej od pozwu.</w:t>
      </w:r>
    </w:p>
    <w:p w:rsidR="00000000" w:rsidDel="00000000" w:rsidP="00000000" w:rsidRDefault="00000000" w:rsidRPr="00000000" w14:paraId="00000013">
      <w:pPr>
        <w:pStyle w:val="Heading3"/>
        <w:keepNext w:val="0"/>
        <w:keepLines w:val="0"/>
        <w:spacing w:before="280" w:lineRule="auto"/>
        <w:jc w:val="center"/>
        <w:rPr>
          <w:b w:val="1"/>
          <w:color w:val="000000"/>
          <w:sz w:val="26"/>
          <w:szCs w:val="26"/>
        </w:rPr>
      </w:pPr>
      <w:bookmarkStart w:colFirst="0" w:colLast="0" w:name="_7cyunydcnzqz" w:id="2"/>
      <w:bookmarkEnd w:id="2"/>
      <w:r w:rsidDel="00000000" w:rsidR="00000000" w:rsidRPr="00000000">
        <w:rPr>
          <w:b w:val="1"/>
          <w:color w:val="000000"/>
          <w:sz w:val="26"/>
          <w:szCs w:val="26"/>
          <w:rtl w:val="0"/>
        </w:rPr>
        <w:t xml:space="preserve">WNIOSEK</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Na podstawie powyższych zarzutów wnoszę o:</w:t>
      </w:r>
    </w:p>
    <w:p w:rsidR="00000000" w:rsidDel="00000000" w:rsidP="00000000" w:rsidRDefault="00000000" w:rsidRPr="00000000" w14:paraId="00000015">
      <w:pPr>
        <w:numPr>
          <w:ilvl w:val="0"/>
          <w:numId w:val="3"/>
        </w:numPr>
        <w:spacing w:after="0" w:afterAutospacing="0" w:before="240" w:lineRule="auto"/>
        <w:ind w:left="720" w:hanging="360"/>
        <w:jc w:val="both"/>
      </w:pPr>
      <w:r w:rsidDel="00000000" w:rsidR="00000000" w:rsidRPr="00000000">
        <w:rPr>
          <w:rtl w:val="0"/>
        </w:rPr>
        <w:t xml:space="preserve">zmianę zaskarżonego wyroku poprzez obniżenie zasądzonych alimentów z kwoty 1000 zł miesięcznie do kwoty </w:t>
      </w:r>
      <w:r w:rsidDel="00000000" w:rsidR="00000000" w:rsidRPr="00000000">
        <w:rPr>
          <w:b w:val="1"/>
          <w:rtl w:val="0"/>
        </w:rPr>
        <w:t xml:space="preserve">700 zł miesięcznie</w:t>
      </w:r>
      <w:r w:rsidDel="00000000" w:rsidR="00000000" w:rsidRPr="00000000">
        <w:rPr>
          <w:rtl w:val="0"/>
        </w:rPr>
        <w:t xml:space="preserve">,</w:t>
      </w:r>
    </w:p>
    <w:p w:rsidR="00000000" w:rsidDel="00000000" w:rsidP="00000000" w:rsidRDefault="00000000" w:rsidRPr="00000000" w14:paraId="00000016">
      <w:pPr>
        <w:numPr>
          <w:ilvl w:val="0"/>
          <w:numId w:val="3"/>
        </w:numPr>
        <w:spacing w:after="0" w:afterAutospacing="0" w:before="0" w:beforeAutospacing="0" w:lineRule="auto"/>
        <w:ind w:left="720" w:hanging="360"/>
        <w:jc w:val="both"/>
      </w:pPr>
      <w:r w:rsidDel="00000000" w:rsidR="00000000" w:rsidRPr="00000000">
        <w:rPr>
          <w:rtl w:val="0"/>
        </w:rPr>
        <w:t xml:space="preserve">uchylenie punktu 3 wyroku w zakresie kosztów procesu i nieobciążanie pozwanego ich ponoszeniem,</w:t>
      </w:r>
    </w:p>
    <w:p w:rsidR="00000000" w:rsidDel="00000000" w:rsidP="00000000" w:rsidRDefault="00000000" w:rsidRPr="00000000" w14:paraId="00000017">
      <w:pPr>
        <w:numPr>
          <w:ilvl w:val="0"/>
          <w:numId w:val="3"/>
        </w:numPr>
        <w:spacing w:after="240" w:before="0" w:beforeAutospacing="0" w:lineRule="auto"/>
        <w:ind w:left="720" w:hanging="360"/>
        <w:jc w:val="both"/>
      </w:pPr>
      <w:r w:rsidDel="00000000" w:rsidR="00000000" w:rsidRPr="00000000">
        <w:rPr>
          <w:rtl w:val="0"/>
        </w:rPr>
        <w:t xml:space="preserve">uchylenie punktu 4 wyroku w zakresie obowiązku uiszczenia przez pozwanego części opłaty sądowej od pozwu.</w:t>
      </w:r>
    </w:p>
    <w:p w:rsidR="00000000" w:rsidDel="00000000" w:rsidP="00000000" w:rsidRDefault="00000000" w:rsidRPr="00000000" w14:paraId="00000018">
      <w:pPr>
        <w:pStyle w:val="Heading3"/>
        <w:keepNext w:val="0"/>
        <w:keepLines w:val="0"/>
        <w:spacing w:before="280" w:lineRule="auto"/>
        <w:jc w:val="center"/>
        <w:rPr>
          <w:b w:val="1"/>
          <w:color w:val="000000"/>
          <w:sz w:val="26"/>
          <w:szCs w:val="26"/>
        </w:rPr>
      </w:pPr>
      <w:bookmarkStart w:colFirst="0" w:colLast="0" w:name="_kr8wxuect1kg" w:id="3"/>
      <w:bookmarkEnd w:id="3"/>
      <w:r w:rsidDel="00000000" w:rsidR="00000000" w:rsidRPr="00000000">
        <w:rPr>
          <w:b w:val="1"/>
          <w:color w:val="000000"/>
          <w:sz w:val="26"/>
          <w:szCs w:val="26"/>
          <w:rtl w:val="0"/>
        </w:rPr>
        <w:t xml:space="preserve">UZASADNIENIE</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Wyrokiem z dnia 14 maja 2024 r. Sąd Rejonowy w Kwietniowie utrzymał w mocy wyrok zaoczny z dnia 18 grudnia 2023 r. (sygn. akt III RC 427/23) w zakresie punktu pierwszego, w którym zasądził od pozwanego Damiana Słomki na rzecz małoletniej Leny Słomki alimenty po 1000 zł miesięcznie, płatne do rąk matki dziecka, Karoliny Słomki. W pozostałej części Sąd oddalił powództwo oraz rozstrzygnął o kosztach procesu i opłacie sądowej, nakazując ich uiszczenie przez pozwanego.</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Zdaniem pozwanego orzeczenie to narusza art. 135 § 1 k.r.o., zgodnie z którym wysokość świadczeń alimentacyjnych zależy zarówno od usprawiedliwionych potrzeb uprawnionego, jak i od zarobkowych oraz majątkowych możliwości zobowiązanego.</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W ocenie pozwanego Sąd pierwszej instancji błędnie przyjął, że miesięczne wydatki związane z utrzymaniem małoletniej wynoszą 1600 zł. Prawidłowa analiza dowodów wskazuje, że faktyczny koszt utrzymania dziecka na podstawowym poziomie nie przekracza 1000 zł miesięcznie.</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Sąd Rejonowy słusznie ustalił, że koszt wyżywienia dziecka w wieku 3 lat wynosi około 600 zł miesięcznie – tej części pozwany nie kwestionuje. Jednakże pozostałe wydatki zostały przyjęte w sposób nadmierny i nieznajdujący uzasadnienia w realiach sprawy.</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Pozwany kwestionuje w szczególności wysokość przyjętych przez Sąd pierwszej instancji wydatków na środki higieniczne oraz utrzymanie lokalu mieszkalnego. W uzasadnieniu wyroku wskazano, że miesięczny koszt zakupu środków pielęgnacyjnych i czystości dla małoletniej wynosi około 300 zł. Tymczasem, zgodnie z doświadczeniem życiowym i aktualnymi cenami, kwota ta jest zawyżona i powinna mieścić się w granicach 150–180 zł miesięcznie.</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Sąd błędnie również uwzględnił w kosztach utrzymania dziecka połowę opłat eksploatacyjnych związanych z mieszkaniem zajmowanym przez matkę i córkę. Jak wynika z akt sprawy, lokal mieszkalny stanowi wyłączną własność Karoliny Słomki, a obowiązek ponoszenia opłat na rzecz wspólnoty mieszkaniowej, takich jak fundusz remontowy czy zaliczki na koszty zarządu nieruchomością wspólną, wynika bezpośrednio z jej prawa własności, niezależnie od liczby osób faktycznie zamieszkujących w lokalu.</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Z tego względu koszty te nie mogą być traktowane jako element usprawiedliwionych potrzeb dziecka, o których mowa w art. 135 § 1 k.r.o. Do kosztów utrzymania dziecka należy zaliczyć jedynie te wydatki, które rzeczywiście pozostają w związku z jego codziennym funkcjonowaniem, jak np. wyżywienie, odzież, opieka medyczna, środki czystości czy edukacja.</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Sąd Rejonowy błędnie przyjął ponadto, że pozwany ma możliwości zarobkowe na poziomie 4200 zł netto miesięcznie. Ustalenie to nie znajduje oparcia w zebranym materiale dowodowym. Pozwany pracuje jako kierowca dostawczy w firmie cateringowej, na podstawie umowy zlecenia, a jego wynagrodzenie jest ściśle uzależnione od liczby zrealizowanych kursów. W okresach zwiększonego zapotrzebowania na usługi gastronomiczne, np. w sezonie letnim, pozwany osiąga dochód w wysokości około 3800 zł, jednak w pozostałych miesiącach wynagrodzenie nie przekracza 3000 zł netto.</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W czasie obowiązywania ograniczeń pandemicznych oraz po utracie części zleceń pozwany uzyskiwał dochody rzędu 1800–2200 zł miesięcznie. Sąd pierwszej instancji nie wziął pod uwagę tej okoliczności i przyjął zbyt optymistyczne założenie, że w przewidywalnym okresie pozwany będzie w stanie utrzymywać stały poziom zarobków w wysokości 4200 zł, co jest nierealne.</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Zarzut ten nabiera szczególnego znaczenia wobec faktu, że Sąd Rejonowy zasądził alimenty w wysokości 1000 zł także za okres, w którym pozwany uzyskiwał znacząco niższe dochody, nieprzekraczające 2000 zł miesięcznie. W efekcie zobowiązanie to w tamtym czasie pochłaniało ponad połowę miesięcznego dochodu pozwanego, co stanowiło rażące naruszenie zasady proporcjonalności określonej w art. 135 § 1 k.r.o.</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Podkreślenia wymaga, iż pozwany od początku postępowania nie uchylał się od obowiązku alimentacyjnego. Jeszcze przed wszczęciem sprawy dobrowolnie przekazywał matce dziecka kwoty po 400 zł miesięcznie, co odpowiadało jego ówczesnym możliwościom finansowym. Po wydaniu postanowienia o udzieleniu zabezpieczenia i ustaleniu wysokości alimentów tymczasowych na poziomie 700 zł miesięcznie, pozwany w pełni realizował to zobowiązanie, regularnie przekazując środki w ustalonej wysokości.</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Z tych względów należy uznać, że kwota 700 zł miesięcznie stanowi realną i sprawiedliwą wartość alimentów, odpowiadającą zarówno potrzebom małoletniej Leny Słomki, jak i możliwościom majątkowym jej ojca. Wysokość ta pozwala na utrzymanie dziecka na odpowiednim poziomie, a jednocześnie nie prowadzi do nadmiernego obciążenia pozwanego i zachowuje zasadę równego udziału rodziców w kosztach utrzymania dziecka.</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Kolejnym zarzutem pozwanego jest błędne rozstrzygnięcie Sądu Rejonowego w zakresie kosztów procesu. W ocenie apelującego, Sąd zastosował wadliwie przepisy dotyczące stawek wynagrodzenia pełnomocników procesowych, co doprowadziło do nieuzasadnionej dysproporcji między stawkami przypisanymi stronom.</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Sąd przyjął bowiem, że wynagrodzenie pełnomocnika powódki wynosi 3600 zł, zgodnie z § 4 ust. 4 w zw. z § 2 pkt 5 rozporządzenia Ministra Sprawiedliwości w sprawie opłat za czynności radców prawnych, natomiast wynagrodzenie pełnomocnika pozwanego określił na kwotę 240 zł, powołując się na § 4 ust. 1 pkt 9 rozporządzenia w sprawie opłat za czynności adwokackie.</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Takie rozstrzygnięcie jest nie tylko sprzeczne z zasadą równości stron w procesie cywilnym, ale również wynika z błędnej wykładni powołanych przepisów. Skoro w sprawie jednej strony jest zobowiązany, a druga uprawniony, wysokość stawek nie może być ustalana odmiennie – winna być jednolita, zależnie od tego, która ze stron ostatecznie zostaje obciążona kosztami procesu.</w:t>
      </w:r>
    </w:p>
    <w:p w:rsidR="00000000" w:rsidDel="00000000" w:rsidP="00000000" w:rsidRDefault="00000000" w:rsidRPr="00000000" w14:paraId="00000028">
      <w:pPr>
        <w:spacing w:after="240" w:before="240" w:lineRule="auto"/>
        <w:jc w:val="both"/>
        <w:rPr/>
      </w:pPr>
      <w:r w:rsidDel="00000000" w:rsidR="00000000" w:rsidRPr="00000000">
        <w:rPr>
          <w:rtl w:val="0"/>
        </w:rPr>
      </w:r>
    </w:p>
    <w:p w:rsidR="00000000" w:rsidDel="00000000" w:rsidP="00000000" w:rsidRDefault="00000000" w:rsidRPr="00000000" w14:paraId="00000029">
      <w:pPr>
        <w:spacing w:after="240" w:before="240" w:lineRule="auto"/>
        <w:jc w:val="both"/>
        <w:rPr/>
      </w:pPr>
      <w:r w:rsidDel="00000000" w:rsidR="00000000" w:rsidRPr="00000000">
        <w:rPr>
          <w:rtl w:val="0"/>
        </w:rPr>
        <w:t xml:space="preserve">W ocenie pozwanego, przyjęcie przez Sąd Rejonowy różnych stawek wynagrodzenia pełnomocników stanowi oczywiste uchybienie, które doprowadziło do nierównego traktowania stron w postępowaniu sądowym. W konsekwencji powstała sytuacja, w której koszt zastępstwa procesowego jednej strony przewyższał piętnastokrotnie koszt drugiej, mimo że obie uczestniczyły w tej samej sprawie i wykonywały tożsame czynności procesowe.</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Prawidłowa wykładnia § 4 ust. 4 w zw. z § 2 pkt 5 rozporządzenia Ministra Sprawiedliwości z dnia 22 października 2015 r. w sprawie opłat za czynności radców prawnych oraz odpowiednio § 4 ust. 1 pkt 9 rozporządzenia w sprawie opłat za czynności adwokackie prowadzi do wniosku, iż dla celów ustalenia kosztów procesu należy stosować jednolitą stawkę – zależnie od tego, która ze stron jest zobowiązana do ich poniesienia.</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Z uwagi na powyższe pozwany wnosi o zmianę punktu 3 wyroku poprzez nieobciążanie go kosztami procesu, jako że jego sytuacja majątkowa nie pozwala na ponoszenie dodatkowych obciążeń finansowych.</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Niezależnie od tego pozwany podnosi, iż w okolicznościach niniejszej sprawy zachodzą przesłanki do zastosowania art. 102 k.p.c., zgodnie z którym sąd może odstąpić od obciążania strony przegrywającej kosztami procesu, jeśli przemawiają za tym względy słuszności.</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W niniejszym postępowaniu takie względy bez wątpienia występują. Pozwany nie uchylał się od obowiązku alimentacyjnego, a wysokość świadczeń uzależniał wyłącznie od realnych możliwości zarobkowych. Od samego początku wykazywał dobrą wolę i gotowość do współpracy z matką dziecka, regularnie przekazując ustalone kwoty. Należy też mieć na uwadze, że poza małoletnią Leną, pozwany utrzymuje drugie dziecko z poprzedniego związku, a jego łączna sytuacja finansowa uległa pogorszeniu z powodu niestabilności zatrudnienia w branży gastronomicznej.</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Na tym tle obciążenie pozwanego kosztami procesu i części opłaty sądowej od pozwu, od której zwolniona była powódka, należy uznać za nadmierne i niesprawiedliwe. W świetle zasad współżycia społecznego i reguł słuszności nie sposób uznać, by w tej sytuacji pozwany powinien ponosić dodatkowe koszty postępowania.</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Reasumując, zaskarżony wyrok w części dotyczącej wysokości alimentów, kosztów procesu i opłaty sądowej został wydany z naruszeniem zarówno prawa materialnego, jak i procesowego, co uzasadnia jego zmianę w sposób wskazany we wnioskach apelacyjnych.</w:t>
      </w:r>
    </w:p>
    <w:p w:rsidR="00000000" w:rsidDel="00000000" w:rsidP="00000000" w:rsidRDefault="00000000" w:rsidRPr="00000000" w14:paraId="00000030">
      <w:pPr>
        <w:pStyle w:val="Heading3"/>
        <w:keepNext w:val="0"/>
        <w:keepLines w:val="0"/>
        <w:spacing w:before="280" w:lineRule="auto"/>
        <w:jc w:val="both"/>
        <w:rPr>
          <w:b w:val="1"/>
          <w:color w:val="000000"/>
          <w:sz w:val="26"/>
          <w:szCs w:val="26"/>
        </w:rPr>
      </w:pPr>
      <w:bookmarkStart w:colFirst="0" w:colLast="0" w:name="_6ofj4fgbso73" w:id="4"/>
      <w:bookmarkEnd w:id="4"/>
      <w:r w:rsidDel="00000000" w:rsidR="00000000" w:rsidRPr="00000000">
        <w:rPr>
          <w:b w:val="1"/>
          <w:color w:val="000000"/>
          <w:sz w:val="26"/>
          <w:szCs w:val="26"/>
          <w:rtl w:val="0"/>
        </w:rPr>
        <w:t xml:space="preserve">Wnioski końcowe</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W związku z powyższym, działając w imieniu pozwanego </w:t>
      </w:r>
      <w:r w:rsidDel="00000000" w:rsidR="00000000" w:rsidRPr="00000000">
        <w:rPr>
          <w:b w:val="1"/>
          <w:rtl w:val="0"/>
        </w:rPr>
        <w:t xml:space="preserve">Damiana Słomki</w:t>
      </w:r>
      <w:r w:rsidDel="00000000" w:rsidR="00000000" w:rsidRPr="00000000">
        <w:rPr>
          <w:rtl w:val="0"/>
        </w:rPr>
        <w:t xml:space="preserve">, wnoszę o:</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rtl w:val="0"/>
        </w:rPr>
        <w:t xml:space="preserve">zmianę zaskarżonego wyroku Sądu Rejonowego w Kwietniowie z dnia 14 maja 2024 r. w części dotyczącej wysokości alimentów poprzez obniżenie ich z kwoty 1000 zł miesięcznie do kwoty 700 zł miesięcznie;</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uchylenie punktu 3 wyroku w zakresie kosztów procesu i nieobciążanie pozwanego ich ponoszeniem;</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uchylenie punktu 4 wyroku w zakresie obowiązku zapłaty przez pozwanego części opłaty sądowej od pozwu;</w:t>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rtl w:val="0"/>
        </w:rPr>
        <w:t xml:space="preserve">zasądzenie od małoletniej powódki reprezentowanej przez matkę kosztów postępowania apelacyjnego na rzecz pozwanego według norm przepisanych.</w:t>
      </w:r>
    </w:p>
    <w:p w:rsidR="00000000" w:rsidDel="00000000" w:rsidP="00000000" w:rsidRDefault="00000000" w:rsidRPr="00000000" w14:paraId="00000036">
      <w:pPr>
        <w:spacing w:after="240" w:before="240" w:lineRule="auto"/>
        <w:jc w:val="both"/>
        <w:rPr/>
      </w:pPr>
      <w:r w:rsidDel="00000000" w:rsidR="00000000" w:rsidRPr="00000000">
        <w:rPr>
          <w:rtl w:val="0"/>
        </w:rPr>
      </w:r>
    </w:p>
    <w:p w:rsidR="00000000" w:rsidDel="00000000" w:rsidP="00000000" w:rsidRDefault="00000000" w:rsidRPr="00000000" w14:paraId="00000037">
      <w:pPr>
        <w:spacing w:after="240" w:before="240" w:lineRule="auto"/>
        <w:jc w:val="right"/>
        <w:rPr/>
      </w:pPr>
      <w:r w:rsidDel="00000000" w:rsidR="00000000" w:rsidRPr="00000000">
        <w:rPr>
          <w:b w:val="1"/>
          <w:rtl w:val="0"/>
        </w:rPr>
        <w:t xml:space="preserve">Podpis:</w:t>
        <w:br w:type="textWrapping"/>
      </w:r>
      <w:r w:rsidDel="00000000" w:rsidR="00000000" w:rsidRPr="00000000">
        <w:rPr>
          <w:rtl w:val="0"/>
        </w:rPr>
        <w:t xml:space="preserve">........................................</w:t>
        <w:br w:type="textWrapping"/>
        <w:t xml:space="preserve">(adw. Joanna Witlin, pełnomocnik pozwanego)</w:t>
      </w:r>
    </w:p>
    <w:p w:rsidR="00000000" w:rsidDel="00000000" w:rsidP="00000000" w:rsidRDefault="00000000" w:rsidRPr="00000000" w14:paraId="00000038">
      <w:pPr>
        <w:spacing w:after="240" w:before="240" w:lineRule="auto"/>
        <w:jc w:val="both"/>
        <w:rPr/>
      </w:pPr>
      <w:r w:rsidDel="00000000" w:rsidR="00000000" w:rsidRPr="00000000">
        <w:rPr>
          <w:rtl w:val="0"/>
        </w:rPr>
      </w:r>
    </w:p>
    <w:p w:rsidR="00000000" w:rsidDel="00000000" w:rsidP="00000000" w:rsidRDefault="00000000" w:rsidRPr="00000000" w14:paraId="00000039">
      <w:pPr>
        <w:spacing w:after="240" w:before="240" w:lineRule="auto"/>
        <w:jc w:val="both"/>
        <w:rPr>
          <w:b w:val="1"/>
        </w:rPr>
      </w:pPr>
      <w:r w:rsidDel="00000000" w:rsidR="00000000" w:rsidRPr="00000000">
        <w:rPr>
          <w:b w:val="1"/>
          <w:rtl w:val="0"/>
        </w:rPr>
        <w:t xml:space="preserve">Załączniki:</w:t>
      </w:r>
    </w:p>
    <w:p w:rsidR="00000000" w:rsidDel="00000000" w:rsidP="00000000" w:rsidRDefault="00000000" w:rsidRPr="00000000" w14:paraId="0000003A">
      <w:pPr>
        <w:numPr>
          <w:ilvl w:val="0"/>
          <w:numId w:val="4"/>
        </w:numPr>
        <w:spacing w:after="0" w:afterAutospacing="0" w:before="240" w:lineRule="auto"/>
        <w:ind w:left="720" w:hanging="360"/>
      </w:pPr>
      <w:r w:rsidDel="00000000" w:rsidR="00000000" w:rsidRPr="00000000">
        <w:rPr>
          <w:rtl w:val="0"/>
        </w:rPr>
        <w:t xml:space="preserve">Dowód uiszczenia uzupełniającej opłaty sądowej – 100 zł</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Odpis apelacji</w:t>
      </w:r>
    </w:p>
    <w:p w:rsidR="00000000" w:rsidDel="00000000" w:rsidP="00000000" w:rsidRDefault="00000000" w:rsidRPr="00000000" w14:paraId="0000003C">
      <w:pPr>
        <w:spacing w:after="240" w:before="240" w:lineRule="auto"/>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