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Polityka korzystania przez pracowników z narzędzi AI</w:t>
      </w:r>
    </w:p>
    <w:p>
      <w:pPr>
        <w:pStyle w:val="Heading1"/>
        <w:jc w:val="center"/>
        <w:rPr/>
      </w:pPr>
      <w:r>
        <w:rPr/>
        <w:t>§1. Cel Polityki</w:t>
      </w:r>
    </w:p>
    <w:p>
      <w:pPr>
        <w:pStyle w:val="Normal"/>
        <w:jc w:val="left"/>
        <w:rPr/>
      </w:pPr>
      <w:r>
        <w:rPr>
          <w:sz w:val="22"/>
        </w:rPr>
        <w:t>Celem niniejszej Polityki jest określenie zasad odpowiedzialnego, bezpiecznego i zgodnego z przepisami prawa korzystania z narzędzi opartych na sztucznej inteligencji (AI) przez pracowników i współpracowników organizacji. Polityka dotyczy zarówno systemów wewnętrznych, jak i zewnętrznych, wykorzystywanych w ramach obowiązków służbowych.</w:t>
      </w:r>
    </w:p>
    <w:p>
      <w:pPr>
        <w:pStyle w:val="Heading1"/>
        <w:jc w:val="center"/>
        <w:rPr/>
      </w:pPr>
      <w:r>
        <w:rPr/>
        <w:t>§2. Zakres stosowania</w:t>
      </w:r>
    </w:p>
    <w:p>
      <w:pPr>
        <w:pStyle w:val="Normal"/>
        <w:jc w:val="left"/>
        <w:rPr/>
      </w:pPr>
      <w:r>
        <w:rPr>
          <w:sz w:val="22"/>
        </w:rPr>
        <w:t>Polityka ma zastosowanie do wszystkich pracowników, współpracowników, zleceniobiorców oraz podwykonawców, którzy korzystają z narzędzi AI w związku z wykonywaniem powierzonych im zadań. Dotyczy to zwłaszcza przypadków, w których przetwarzane są dane osobowe, informacje poufne lub materiały strategiczne.</w:t>
      </w:r>
    </w:p>
    <w:p>
      <w:pPr>
        <w:pStyle w:val="Heading1"/>
        <w:jc w:val="center"/>
        <w:rPr/>
      </w:pPr>
      <w:r>
        <w:rPr/>
        <w:t>§3. Dozwolone zastosowania AI</w:t>
      </w:r>
    </w:p>
    <w:p>
      <w:pPr>
        <w:pStyle w:val="Normal"/>
        <w:jc w:val="left"/>
        <w:rPr/>
      </w:pPr>
      <w:r>
        <w:rPr>
          <w:sz w:val="22"/>
        </w:rPr>
        <w:t>Dopuszcza się korzystanie z narzędzi AI w celu wsparcia pracy biurowej, analizy danych, przygotowania wstępnych treści marketingowych lub raportów oraz prototypowania rozwiązań – pod warunkiem zachowania zasady minimalizacji danych i przejrzystości źródeł informacji.</w:t>
      </w:r>
    </w:p>
    <w:p>
      <w:pPr>
        <w:pStyle w:val="Heading1"/>
        <w:jc w:val="center"/>
        <w:rPr/>
      </w:pPr>
      <w:r>
        <w:rPr/>
        <w:t>§4. Niedozwolone działania</w:t>
      </w:r>
    </w:p>
    <w:p>
      <w:pPr>
        <w:pStyle w:val="Normal"/>
        <w:jc w:val="left"/>
        <w:rPr/>
      </w:pPr>
      <w:r>
        <w:rPr>
          <w:sz w:val="22"/>
        </w:rPr>
        <w:t>Zabrania się wprowadzania danych osobowych do publicznych narzędzi AI bez zgody przełożonego, podejmowania decyzji prawnych lub kadrowych wyłącznie na podstawie wyników działania AI, a także generowania treści sprzecznych z przepisami prawa lub interesem organizacji.</w:t>
      </w:r>
    </w:p>
    <w:p>
      <w:pPr>
        <w:pStyle w:val="Heading1"/>
        <w:jc w:val="center"/>
        <w:rPr/>
      </w:pPr>
      <w:r>
        <w:rPr/>
        <w:t>§5. Bezpieczeństwo i ochrona danych</w:t>
      </w:r>
    </w:p>
    <w:p>
      <w:pPr>
        <w:pStyle w:val="Normal"/>
        <w:jc w:val="left"/>
        <w:rPr/>
      </w:pPr>
      <w:r>
        <w:rPr>
          <w:sz w:val="2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1971675</wp:posOffset>
            </wp:positionH>
            <wp:positionV relativeFrom="paragraph">
              <wp:posOffset>1579880</wp:posOffset>
            </wp:positionV>
            <wp:extent cx="1409700" cy="39052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Użytkownicy systemów AI mają obowiązek przekazywać jedynie dane niezbędne do realizacji celu, przestrzegać zasad kontroli dostępu oraz wykorzystywać wyłącznie zatwierdzone narzędzia udostępnione przez organizację.</w:t>
      </w:r>
    </w:p>
    <w:p>
      <w:pPr>
        <w:pStyle w:val="Heading1"/>
        <w:jc w:val="center"/>
        <w:rPr/>
      </w:pPr>
      <w:r>
        <w:rPr/>
        <w:t>§6. Zgłaszanie incydentów</w:t>
      </w:r>
    </w:p>
    <w:p>
      <w:pPr>
        <w:pStyle w:val="Normal"/>
        <w:jc w:val="left"/>
        <w:rPr/>
      </w:pPr>
      <w:r>
        <w:rPr>
          <w:sz w:val="22"/>
        </w:rPr>
        <w:t>Wszelkie incydenty związane z wykorzystaniem AI, w szczególności naruszenia ochrony danych, należy niezwłocznie zgłaszać do przełożonego, Inspektora Ochrony Danych lub działu IT.</w:t>
      </w:r>
    </w:p>
    <w:p>
      <w:pPr>
        <w:pStyle w:val="Heading1"/>
        <w:jc w:val="center"/>
        <w:rPr/>
      </w:pPr>
      <w:r>
        <w:rPr/>
        <w:t>§7. Nadzór i odpowiedzialność</w:t>
      </w:r>
    </w:p>
    <w:p>
      <w:pPr>
        <w:pStyle w:val="Normal"/>
        <w:jc w:val="left"/>
        <w:rPr/>
      </w:pPr>
      <w:r>
        <w:rPr>
          <w:sz w:val="22"/>
        </w:rPr>
        <w:t>Za wdrożenie niniejszej Polityki odpowiada Zarząd. Inspektor Ochrony Danych nadzoruje zgodność z RODO, dział IT odpowiada za bezpieczeństwo narzędzi, a pracownicy zobowiązani są do przestrzegania niniejszych zasad.</w:t>
      </w:r>
    </w:p>
    <w:p>
      <w:pPr>
        <w:pStyle w:val="Heading1"/>
        <w:jc w:val="center"/>
        <w:rPr/>
      </w:pPr>
      <w:r>
        <w:rPr/>
        <w:t>§8. Monitorowanie i sankcje</w:t>
      </w:r>
    </w:p>
    <w:p>
      <w:pPr>
        <w:pStyle w:val="Normal"/>
        <w:jc w:val="left"/>
        <w:rPr/>
      </w:pPr>
      <w:r>
        <w:rPr>
          <w:sz w:val="22"/>
        </w:rPr>
        <w:t>Organizacja przeprowadza audyty wewnętrzne w celu weryfikacji zgodności działań z Polityką. Naruszenie jej postanowień może skutkować sankcjami służbowymi, w tym upomnieniem, ograniczeniem dostępu lub rozwiązaniem umowy.</w:t>
      </w:r>
    </w:p>
    <w:p>
      <w:pPr>
        <w:pStyle w:val="Heading1"/>
        <w:jc w:val="center"/>
        <w:rPr/>
      </w:pPr>
      <w:r>
        <w:rPr/>
        <w:t>§9. Postanowienia końcowe</w:t>
      </w:r>
    </w:p>
    <w:p>
      <w:pPr>
        <w:pStyle w:val="Normal"/>
        <w:jc w:val="left"/>
        <w:rPr/>
      </w:pPr>
      <w:r>
        <w:rPr>
          <w:sz w:val="22"/>
        </w:rPr>
        <w:t>Polityka obowiązuje od dnia jej zatwierdzenia przez Zarząd. Dokument jest udostępniany wszystkim pracownikom i może być aktualizowany w przypadku zmiany przepisów prawa, technologii lub strategii organizacyjnej.</w:t>
      </w:r>
    </w:p>
    <w:p>
      <w:pPr>
        <w:pStyle w:val="Heading1"/>
        <w:rPr/>
      </w:pPr>
      <w:r>
        <w:rPr/>
        <w:t>Podstawa prawna</w:t>
      </w:r>
    </w:p>
    <w:p>
      <w:pPr>
        <w:pStyle w:val="Normal"/>
        <w:jc w:val="left"/>
        <w:rPr/>
      </w:pPr>
      <w:r>
        <w:rPr>
          <w:sz w:val="22"/>
        </w:rPr>
        <w:t xml:space="preserve">• </w:t>
      </w:r>
      <w:r>
        <w:rPr>
          <w:sz w:val="22"/>
        </w:rPr>
        <w:t>art. 5 ust. 1 lit. c, art. 6, art. 24, art. 25, art. 32, art. 35 – Rozporządzenie Parlamentu Europejskiego i Rady (UE) 2016/679 (RODO)</w:t>
      </w:r>
    </w:p>
    <w:p>
      <w:pPr>
        <w:pStyle w:val="Normal"/>
        <w:jc w:val="left"/>
        <w:rPr/>
      </w:pPr>
      <w:r>
        <w:rPr>
          <w:sz w:val="22"/>
        </w:rPr>
        <w:t xml:space="preserve">• </w:t>
      </w:r>
      <w:r>
        <w:rPr>
          <w:sz w:val="22"/>
        </w:rPr>
        <w:t>art. 29 i nast. – projekt rozporządzenia AI Act (UE)</w:t>
      </w:r>
    </w:p>
    <w:p>
      <w:pPr>
        <w:pStyle w:val="Normal"/>
        <w:spacing w:before="0" w:after="200"/>
        <w:jc w:val="left"/>
        <w:rPr/>
      </w:pPr>
      <w:r>
        <w:rPr>
          <w:sz w:val="22"/>
        </w:rPr>
        <w:t xml:space="preserve">• </w:t>
      </w:r>
      <w:r>
        <w:rPr>
          <w:sz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1876425</wp:posOffset>
            </wp:positionH>
            <wp:positionV relativeFrom="paragraph">
              <wp:posOffset>2688590</wp:posOffset>
            </wp:positionV>
            <wp:extent cx="1409700" cy="39052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ISO/IEC 27001 – norma zarządzania bezpieczeństwem informacji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sFree_Office_for_Docs_and_PDF/7.4.2.3$Windows_X86_64 LibreOffice_project/382eef1f22670f7f4118c8c2dd222ec7ad009daf</Application>
  <AppVersion>15.0000</AppVersion>
  <Pages>2</Pages>
  <Words>350</Words>
  <Characters>2433</Characters>
  <CharactersWithSpaces>2764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2025-04-02T22:27:29Z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